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53A90" w14:textId="77777777" w:rsidR="002E21BA" w:rsidRDefault="001C0426">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11A53A91"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11A53A92"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2E21BA" w14:paraId="11A53A95" w14:textId="77777777">
        <w:tc>
          <w:tcPr>
            <w:tcW w:w="3060" w:type="dxa"/>
          </w:tcPr>
          <w:p w14:paraId="11A53A93" w14:textId="77777777" w:rsidR="002E21BA" w:rsidRDefault="001C0426">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sz w:val="24"/>
                <w:szCs w:val="24"/>
              </w:rPr>
              <w:t>“Core Network”</w:t>
            </w:r>
          </w:p>
        </w:tc>
        <w:tc>
          <w:tcPr>
            <w:tcW w:w="4928" w:type="dxa"/>
          </w:tcPr>
          <w:p w14:paraId="11A53A94"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sz w:val="24"/>
                <w:szCs w:val="24"/>
              </w:rPr>
              <w:t>with a specific Call-Off Contract;</w:t>
            </w:r>
          </w:p>
        </w:tc>
      </w:tr>
      <w:tr w:rsidR="002E21BA" w14:paraId="11A53A98" w14:textId="77777777">
        <w:tc>
          <w:tcPr>
            <w:tcW w:w="3060" w:type="dxa"/>
          </w:tcPr>
          <w:p w14:paraId="11A53A96" w14:textId="77777777" w:rsidR="002E21BA" w:rsidRDefault="001C0426">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color w:val="000000"/>
                <w:sz w:val="24"/>
                <w:szCs w:val="24"/>
              </w:rPr>
              <w:t>“Core Network Assets”</w:t>
            </w:r>
          </w:p>
        </w:tc>
        <w:tc>
          <w:tcPr>
            <w:tcW w:w="4928" w:type="dxa"/>
          </w:tcPr>
          <w:p w14:paraId="11A53A97"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assets used in the provision of the Core Network;</w:t>
            </w:r>
          </w:p>
        </w:tc>
      </w:tr>
      <w:tr w:rsidR="002E21BA" w14:paraId="11A53A9B" w14:textId="77777777">
        <w:tc>
          <w:tcPr>
            <w:tcW w:w="3060" w:type="dxa"/>
          </w:tcPr>
          <w:p w14:paraId="11A53A99"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11A53A9A"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2E21BA" w14:paraId="11A53A9E" w14:textId="77777777">
        <w:tc>
          <w:tcPr>
            <w:tcW w:w="3060" w:type="dxa"/>
          </w:tcPr>
          <w:p w14:paraId="11A53A9C"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11A53A9D"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2E21BA" w14:paraId="11A53AA1" w14:textId="77777777">
        <w:tc>
          <w:tcPr>
            <w:tcW w:w="3060" w:type="dxa"/>
          </w:tcPr>
          <w:p w14:paraId="11A53A9F"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11A53AA0"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2E21BA" w14:paraId="11A53AA4" w14:textId="77777777">
        <w:tc>
          <w:tcPr>
            <w:tcW w:w="3060" w:type="dxa"/>
          </w:tcPr>
          <w:p w14:paraId="11A53AA2"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11A53AA3" w14:textId="77777777" w:rsidR="002E21BA" w:rsidRDefault="001C0426">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2E21BA" w14:paraId="11A53AA7" w14:textId="77777777">
        <w:tc>
          <w:tcPr>
            <w:tcW w:w="3060" w:type="dxa"/>
          </w:tcPr>
          <w:p w14:paraId="11A53AA5"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11A53AA6"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2E21BA" w14:paraId="11A53AAA" w14:textId="77777777">
        <w:tc>
          <w:tcPr>
            <w:tcW w:w="3060" w:type="dxa"/>
          </w:tcPr>
          <w:p w14:paraId="11A53AA8"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11A53AA9"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 excluding the Core Netw</w:t>
            </w:r>
            <w:r>
              <w:rPr>
                <w:rFonts w:ascii="Arial" w:eastAsia="Arial" w:hAnsi="Arial" w:cs="Arial"/>
                <w:color w:val="000000"/>
                <w:sz w:val="24"/>
                <w:szCs w:val="24"/>
              </w:rPr>
              <w:t>ork Assets;</w:t>
            </w:r>
          </w:p>
        </w:tc>
      </w:tr>
      <w:tr w:rsidR="002E21BA" w14:paraId="11A53AAD" w14:textId="77777777">
        <w:tc>
          <w:tcPr>
            <w:tcW w:w="3060" w:type="dxa"/>
          </w:tcPr>
          <w:p w14:paraId="11A53AAB"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14:paraId="11A53AAC"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2E21BA" w14:paraId="11A53AB0" w14:textId="77777777">
        <w:tc>
          <w:tcPr>
            <w:tcW w:w="3060" w:type="dxa"/>
          </w:tcPr>
          <w:p w14:paraId="11A53AAE"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11A53AAF"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those </w:t>
            </w:r>
            <w:r>
              <w:rPr>
                <w:rFonts w:ascii="Arial" w:eastAsia="Arial" w:hAnsi="Arial" w:cs="Arial"/>
                <w:sz w:val="24"/>
                <w:szCs w:val="24"/>
              </w:rPr>
              <w:t>services</w:t>
            </w:r>
            <w:r>
              <w:rPr>
                <w:rFonts w:ascii="Arial" w:eastAsia="Arial" w:hAnsi="Arial" w:cs="Arial"/>
                <w:color w:val="000000"/>
                <w:sz w:val="24"/>
                <w:szCs w:val="24"/>
              </w:rPr>
              <w:t xml:space="preserve"> are provided by the Buyer internally and/or by any third party;</w:t>
            </w:r>
          </w:p>
        </w:tc>
      </w:tr>
      <w:tr w:rsidR="002E21BA" w14:paraId="11A53AB3" w14:textId="77777777">
        <w:tc>
          <w:tcPr>
            <w:tcW w:w="3060" w:type="dxa"/>
          </w:tcPr>
          <w:p w14:paraId="11A53AB1"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w:t>
            </w:r>
            <w:r>
              <w:rPr>
                <w:rFonts w:ascii="Arial" w:eastAsia="Arial" w:hAnsi="Arial" w:cs="Arial"/>
                <w:b/>
                <w:color w:val="000000"/>
                <w:sz w:val="24"/>
                <w:szCs w:val="24"/>
              </w:rPr>
              <w:t>vices"</w:t>
            </w:r>
          </w:p>
        </w:tc>
        <w:tc>
          <w:tcPr>
            <w:tcW w:w="4928" w:type="dxa"/>
          </w:tcPr>
          <w:p w14:paraId="11A53AB2"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w:t>
            </w:r>
            <w:r>
              <w:rPr>
                <w:rFonts w:ascii="Arial" w:eastAsia="Arial" w:hAnsi="Arial" w:cs="Arial"/>
                <w:sz w:val="24"/>
                <w:szCs w:val="24"/>
              </w:rPr>
              <w:t>Deliverables</w:t>
            </w:r>
            <w:r>
              <w:rPr>
                <w:rFonts w:ascii="Arial" w:eastAsia="Arial" w:hAnsi="Arial" w:cs="Arial"/>
                <w:color w:val="000000"/>
                <w:sz w:val="24"/>
                <w:szCs w:val="24"/>
              </w:rPr>
              <w:t xml:space="preserve"> are provided by the Buyer internally and/or by any third part</w:t>
            </w:r>
            <w:r>
              <w:rPr>
                <w:rFonts w:ascii="Arial" w:eastAsia="Arial" w:hAnsi="Arial" w:cs="Arial"/>
                <w:color w:val="000000"/>
                <w:sz w:val="24"/>
                <w:szCs w:val="24"/>
              </w:rPr>
              <w:t>y;</w:t>
            </w:r>
          </w:p>
        </w:tc>
      </w:tr>
      <w:tr w:rsidR="002E21BA" w14:paraId="11A53AB9" w14:textId="77777777">
        <w:tc>
          <w:tcPr>
            <w:tcW w:w="3060" w:type="dxa"/>
          </w:tcPr>
          <w:p w14:paraId="11A53AB4"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11A53AB5" w14:textId="77777777" w:rsidR="002E21BA" w:rsidRDefault="001C0426">
            <w:pPr>
              <w:pBdr>
                <w:top w:val="nil"/>
                <w:left w:val="nil"/>
                <w:bottom w:val="nil"/>
                <w:right w:val="nil"/>
                <w:between w:val="nil"/>
              </w:pBdr>
              <w:tabs>
                <w:tab w:val="left" w:pos="-9"/>
              </w:tabs>
              <w:spacing w:after="120"/>
              <w:rPr>
                <w:rFonts w:ascii="Arial" w:eastAsia="Arial" w:hAnsi="Arial" w:cs="Arial"/>
                <w:sz w:val="24"/>
                <w:szCs w:val="24"/>
              </w:rPr>
            </w:pPr>
            <w:r>
              <w:t xml:space="preserve">     </w:t>
            </w:r>
            <w:r>
              <w:rPr>
                <w:rFonts w:ascii="Arial" w:eastAsia="Arial" w:hAnsi="Arial" w:cs="Arial"/>
                <w:color w:val="000000"/>
                <w:sz w:val="24"/>
                <w:szCs w:val="24"/>
              </w:rPr>
              <w:t xml:space="preserve"> </w:t>
            </w:r>
          </w:p>
          <w:p w14:paraId="11A53AB6" w14:textId="77777777" w:rsidR="002E21BA" w:rsidRDefault="001C0426">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provision of any configuration information reasonably required to </w:t>
            </w:r>
            <w:proofErr w:type="gramStart"/>
            <w:r>
              <w:rPr>
                <w:rFonts w:ascii="Arial" w:eastAsia="Arial" w:hAnsi="Arial" w:cs="Arial"/>
                <w:sz w:val="24"/>
                <w:szCs w:val="24"/>
              </w:rPr>
              <w:t>effect</w:t>
            </w:r>
            <w:proofErr w:type="gramEnd"/>
            <w:r>
              <w:rPr>
                <w:rFonts w:ascii="Arial" w:eastAsia="Arial" w:hAnsi="Arial" w:cs="Arial"/>
                <w:sz w:val="24"/>
                <w:szCs w:val="24"/>
              </w:rPr>
              <w:t xml:space="preserve"> the implementation of the Replacement Services excluding the Core Network; </w:t>
            </w:r>
          </w:p>
          <w:p w14:paraId="11A53AB7" w14:textId="77777777" w:rsidR="002E21BA" w:rsidRDefault="001C0426">
            <w:pPr>
              <w:numPr>
                <w:ilvl w:val="0"/>
                <w:numId w:val="1"/>
              </w:numPr>
              <w:tabs>
                <w:tab w:val="left" w:pos="-9"/>
              </w:tabs>
              <w:rPr>
                <w:rFonts w:ascii="Arial" w:eastAsia="Arial" w:hAnsi="Arial" w:cs="Arial"/>
                <w:sz w:val="24"/>
                <w:szCs w:val="24"/>
              </w:rPr>
            </w:pPr>
            <w:r>
              <w:rPr>
                <w:rFonts w:ascii="Arial" w:eastAsia="Arial" w:hAnsi="Arial" w:cs="Arial"/>
                <w:sz w:val="24"/>
                <w:szCs w:val="24"/>
              </w:rPr>
              <w:t>any activity required to facilitate the transition from the live operation of an existing Service to th</w:t>
            </w:r>
            <w:r>
              <w:rPr>
                <w:rFonts w:ascii="Arial" w:eastAsia="Arial" w:hAnsi="Arial" w:cs="Arial"/>
                <w:sz w:val="24"/>
                <w:szCs w:val="24"/>
              </w:rPr>
              <w:t xml:space="preserve">e live operation of a Replacement Service excluding the Core </w:t>
            </w:r>
            <w:proofErr w:type="gramStart"/>
            <w:r>
              <w:rPr>
                <w:rFonts w:ascii="Arial" w:eastAsia="Arial" w:hAnsi="Arial" w:cs="Arial"/>
                <w:sz w:val="24"/>
                <w:szCs w:val="24"/>
              </w:rPr>
              <w:t>Network;  and</w:t>
            </w:r>
            <w:proofErr w:type="gramEnd"/>
          </w:p>
          <w:p w14:paraId="11A53AB8" w14:textId="77777777" w:rsidR="002E21BA" w:rsidRDefault="001C0426">
            <w:pPr>
              <w:pBdr>
                <w:top w:val="nil"/>
                <w:left w:val="nil"/>
                <w:bottom w:val="nil"/>
                <w:right w:val="nil"/>
                <w:between w:val="nil"/>
              </w:pBdr>
              <w:tabs>
                <w:tab w:val="left" w:pos="-9"/>
              </w:tabs>
              <w:spacing w:after="120"/>
              <w:rPr>
                <w:rFonts w:ascii="Arial" w:eastAsia="Arial" w:hAnsi="Arial" w:cs="Arial"/>
                <w:color w:val="000000"/>
                <w:sz w:val="22"/>
                <w:szCs w:val="22"/>
              </w:rPr>
            </w:pPr>
            <w:r>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2E21BA" w14:paraId="11A53ABC" w14:textId="77777777">
        <w:tc>
          <w:tcPr>
            <w:tcW w:w="3060" w:type="dxa"/>
          </w:tcPr>
          <w:p w14:paraId="11A53ABA"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"Termination </w:t>
            </w:r>
            <w:r>
              <w:rPr>
                <w:rFonts w:ascii="Arial" w:eastAsia="Arial" w:hAnsi="Arial" w:cs="Arial"/>
                <w:b/>
                <w:color w:val="000000"/>
                <w:sz w:val="24"/>
                <w:szCs w:val="24"/>
              </w:rPr>
              <w:t>Assistance Notice"</w:t>
            </w:r>
          </w:p>
        </w:tc>
        <w:tc>
          <w:tcPr>
            <w:tcW w:w="4928" w:type="dxa"/>
          </w:tcPr>
          <w:p w14:paraId="11A53ABB"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2E21BA" w14:paraId="11A53ABF" w14:textId="77777777">
        <w:tc>
          <w:tcPr>
            <w:tcW w:w="3060" w:type="dxa"/>
          </w:tcPr>
          <w:p w14:paraId="11A53ABD" w14:textId="77777777" w:rsidR="002E21BA" w:rsidRDefault="001C042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11A53ABE"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2E21BA" w14:paraId="11A53AC2" w14:textId="77777777">
        <w:tc>
          <w:tcPr>
            <w:tcW w:w="3060" w:type="dxa"/>
          </w:tcPr>
          <w:p w14:paraId="11A53AC0"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11A53AC1"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2E21BA" w14:paraId="11A53AC5" w14:textId="77777777">
        <w:tc>
          <w:tcPr>
            <w:tcW w:w="3060" w:type="dxa"/>
          </w:tcPr>
          <w:p w14:paraId="11A53AC3"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11A53AC4"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Sub-Contracts, licences for Supplier's Software, licences for Third Party </w:t>
            </w:r>
            <w:r>
              <w:rPr>
                <w:rFonts w:ascii="Arial" w:eastAsia="Arial" w:hAnsi="Arial" w:cs="Arial"/>
                <w:color w:val="000000"/>
                <w:sz w:val="24"/>
                <w:szCs w:val="24"/>
              </w:rPr>
              <w:lastRenderedPageBreak/>
              <w:t>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 excluding such contracts relating to the Core Network;</w:t>
            </w:r>
          </w:p>
        </w:tc>
      </w:tr>
      <w:tr w:rsidR="002E21BA" w14:paraId="11A53AC8" w14:textId="77777777">
        <w:tc>
          <w:tcPr>
            <w:tcW w:w="3060" w:type="dxa"/>
          </w:tcPr>
          <w:p w14:paraId="11A53AC6"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14:paraId="11A53AC7"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w:t>
            </w:r>
            <w:r>
              <w:rPr>
                <w:rFonts w:ascii="Arial" w:eastAsia="Arial" w:hAnsi="Arial" w:cs="Arial"/>
                <w:color w:val="000000"/>
                <w:sz w:val="24"/>
                <w:szCs w:val="24"/>
              </w:rPr>
              <w:t>t in Paragraph 8.2.1 of this Schedule;</w:t>
            </w:r>
          </w:p>
        </w:tc>
      </w:tr>
      <w:tr w:rsidR="002E21BA" w14:paraId="11A53ACB" w14:textId="77777777">
        <w:tc>
          <w:tcPr>
            <w:tcW w:w="3060" w:type="dxa"/>
          </w:tcPr>
          <w:p w14:paraId="11A53AC9" w14:textId="77777777" w:rsidR="002E21BA" w:rsidRDefault="001C04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1A53ACA" w14:textId="77777777" w:rsidR="002E21BA" w:rsidRDefault="001C0426">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11A53ACC"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11A53ACD"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11A53ACE"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11A53ACF"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 xml:space="preserve">ments required in connection with the Deliverables insofar as they relate to Exclusive Assets and </w:t>
      </w:r>
      <w:proofErr w:type="gramStart"/>
      <w:r>
        <w:rPr>
          <w:rFonts w:ascii="Arial" w:eastAsia="Arial" w:hAnsi="Arial" w:cs="Arial"/>
          <w:color w:val="000000"/>
          <w:sz w:val="24"/>
          <w:szCs w:val="24"/>
        </w:rPr>
        <w:t>Non Exclus</w:t>
      </w:r>
      <w:r>
        <w:rPr>
          <w:rFonts w:ascii="Arial" w:eastAsia="Arial" w:hAnsi="Arial" w:cs="Arial"/>
          <w:sz w:val="24"/>
          <w:szCs w:val="24"/>
        </w:rPr>
        <w:t>ive</w:t>
      </w:r>
      <w:proofErr w:type="gramEnd"/>
      <w:r>
        <w:rPr>
          <w:rFonts w:ascii="Arial" w:eastAsia="Arial" w:hAnsi="Arial" w:cs="Arial"/>
          <w:sz w:val="24"/>
          <w:szCs w:val="24"/>
        </w:rPr>
        <w:t xml:space="preserve"> Assets</w:t>
      </w:r>
      <w:r>
        <w:rPr>
          <w:rFonts w:ascii="Arial" w:eastAsia="Arial" w:hAnsi="Arial" w:cs="Arial"/>
          <w:color w:val="000000"/>
          <w:sz w:val="24"/>
          <w:szCs w:val="24"/>
        </w:rPr>
        <w:t>; and</w:t>
      </w:r>
    </w:p>
    <w:p w14:paraId="11A53AD0"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configuration database detailing the technical infrastructure and operating procedures through which the Suppl</w:t>
      </w:r>
      <w:r>
        <w:rPr>
          <w:rFonts w:ascii="Arial" w:eastAsia="Arial" w:hAnsi="Arial" w:cs="Arial"/>
          <w:color w:val="000000"/>
          <w:sz w:val="24"/>
          <w:szCs w:val="24"/>
        </w:rPr>
        <w:t xml:space="preserve">ier provides the Deliverables (excluding the Core Network) </w:t>
      </w:r>
    </w:p>
    <w:p w14:paraId="11A53AD1" w14:textId="77777777" w:rsidR="002E21BA" w:rsidRDefault="001C0426">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11A53AD2"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11A53AD3"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11A53AD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w:t>
      </w:r>
      <w:r>
        <w:rPr>
          <w:rFonts w:ascii="Arial" w:eastAsia="Arial" w:hAnsi="Arial" w:cs="Arial"/>
          <w:color w:val="000000"/>
          <w:sz w:val="24"/>
          <w:szCs w:val="24"/>
        </w:rPr>
        <w:t>l Sub-Contracts in relation to Exclusive and Non-Exclusive Assets shall be assignable and/or capable of novation (at no cost or restriction to the Buyer) at the request of the Buyer to the Buyer (and/or its nominee) and/or any Replacement Supplier upon the</w:t>
      </w:r>
      <w:r>
        <w:rPr>
          <w:rFonts w:ascii="Arial" w:eastAsia="Arial" w:hAnsi="Arial" w:cs="Arial"/>
          <w:color w:val="000000"/>
          <w:sz w:val="24"/>
          <w:szCs w:val="24"/>
        </w:rPr>
        <w:t xml:space="preserve"> Supplier ceasing to provide the Deliverables (or part of them) and if the Supplier is unable to do so then the Supplier shall promptly notify the Buyer and the Buyer may require the Supplier to procure an alternative Subcontractor or provider of Deliverab</w:t>
      </w:r>
      <w:r>
        <w:rPr>
          <w:rFonts w:ascii="Arial" w:eastAsia="Arial" w:hAnsi="Arial" w:cs="Arial"/>
          <w:color w:val="000000"/>
          <w:sz w:val="24"/>
          <w:szCs w:val="24"/>
        </w:rPr>
        <w:t xml:space="preserve">les. </w:t>
      </w:r>
    </w:p>
    <w:p w14:paraId="11A53AD5"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1A53AD6"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lastRenderedPageBreak/>
        <w:t>Assisting re-competition for Deliv</w:t>
      </w:r>
      <w:r>
        <w:rPr>
          <w:rFonts w:ascii="Arial" w:eastAsia="Arial" w:hAnsi="Arial" w:cs="Arial"/>
          <w:b/>
          <w:color w:val="000000"/>
          <w:sz w:val="24"/>
          <w:szCs w:val="24"/>
        </w:rPr>
        <w:t xml:space="preserve">erables </w:t>
      </w:r>
    </w:p>
    <w:p w14:paraId="11A53AD7"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11A53AD8"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w:t>
      </w:r>
      <w:r>
        <w:rPr>
          <w:rFonts w:ascii="Arial" w:eastAsia="Arial" w:hAnsi="Arial" w:cs="Arial"/>
          <w:color w:val="000000"/>
          <w:sz w:val="24"/>
          <w:szCs w:val="24"/>
        </w:rPr>
        <w:t xml:space="preserve"> in connection with such engagement.</w:t>
      </w:r>
    </w:p>
    <w:p w14:paraId="11A53AD9"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w:t>
      </w:r>
      <w:r>
        <w:rPr>
          <w:rFonts w:ascii="Arial" w:eastAsia="Arial" w:hAnsi="Arial" w:cs="Arial"/>
          <w:color w:val="000000"/>
          <w:sz w:val="24"/>
          <w:szCs w:val="24"/>
        </w:rPr>
        <w:t>tion (</w:t>
      </w:r>
      <w:r>
        <w:rPr>
          <w:rFonts w:ascii="Arial" w:eastAsia="Arial" w:hAnsi="Arial" w:cs="Arial"/>
          <w:sz w:val="24"/>
          <w:szCs w:val="24"/>
        </w:rPr>
        <w:t>excluding the Core Network)</w:t>
      </w:r>
      <w:r>
        <w:rPr>
          <w:rFonts w:ascii="Arial" w:eastAsia="Arial" w:hAnsi="Arial" w:cs="Arial"/>
          <w:color w:val="000000"/>
          <w:sz w:val="24"/>
          <w:szCs w:val="24"/>
        </w:rPr>
        <w:t xml:space="preserve"> which may adversely impact upon the provision of any Deliverables (and shall consult the Buyer in relation to any such changes).</w:t>
      </w:r>
    </w:p>
    <w:p w14:paraId="11A53ADA"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w:t>
      </w:r>
      <w:r>
        <w:rPr>
          <w:rFonts w:ascii="Arial" w:eastAsia="Arial" w:hAnsi="Arial" w:cs="Arial"/>
          <w:color w:val="000000"/>
          <w:sz w:val="24"/>
          <w:szCs w:val="24"/>
        </w:rPr>
        <w:t>ficient to enable a third party to prepare an informed offer for those Deliverables (excluding the Core Network); and not be disadvantaged in any procurement process compared to the Supplier.</w:t>
      </w:r>
    </w:p>
    <w:p w14:paraId="11A53ADB"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11A53ADC"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w:t>
      </w:r>
      <w:r>
        <w:rPr>
          <w:rFonts w:ascii="Arial" w:eastAsia="Arial" w:hAnsi="Arial" w:cs="Arial"/>
          <w:color w:val="000000"/>
          <w:sz w:val="24"/>
          <w:szCs w:val="24"/>
        </w:rPr>
        <w:t>Start Date, deliver to the Buyer an Exit Plan which complies with the requirements set out in Paragraph 4.3 of this Schedule and is otherwise reasonably satisfactory to the Buyer.</w:t>
      </w:r>
    </w:p>
    <w:p w14:paraId="11A53ADD"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w:t>
      </w:r>
      <w:r>
        <w:rPr>
          <w:rFonts w:ascii="Arial" w:eastAsia="Arial" w:hAnsi="Arial" w:cs="Arial"/>
          <w:color w:val="000000"/>
          <w:sz w:val="24"/>
          <w:szCs w:val="24"/>
        </w:rPr>
        <w:t>t Plan. If the Parties are unable to agree the contents of the Exit Plan within twenty (20) Working Days of the latest date for its submission pursuant to Paragraph 4.1, then such Dispute shall be resolved in accordance with the Dispute Resolution Procedur</w:t>
      </w:r>
      <w:r>
        <w:rPr>
          <w:rFonts w:ascii="Arial" w:eastAsia="Arial" w:hAnsi="Arial" w:cs="Arial"/>
          <w:color w:val="000000"/>
          <w:sz w:val="24"/>
          <w:szCs w:val="24"/>
        </w:rPr>
        <w:t xml:space="preserve">e. </w:t>
      </w:r>
    </w:p>
    <w:p w14:paraId="11A53ADE"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11A53ADF"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11A53AE0"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(excluding </w:t>
      </w:r>
      <w:r>
        <w:rPr>
          <w:rFonts w:ascii="Arial" w:eastAsia="Arial" w:hAnsi="Arial" w:cs="Arial"/>
          <w:sz w:val="24"/>
          <w:szCs w:val="24"/>
        </w:rPr>
        <w:t>the Core Network)</w:t>
      </w:r>
      <w:r>
        <w:rPr>
          <w:rFonts w:ascii="Arial" w:eastAsia="Arial" w:hAnsi="Arial" w:cs="Arial"/>
          <w:color w:val="000000"/>
          <w:sz w:val="24"/>
          <w:szCs w:val="24"/>
        </w:rPr>
        <w:t xml:space="preserve"> will transfer to the Replacement Supplier and/or the Buyer;</w:t>
      </w:r>
    </w:p>
    <w:p w14:paraId="11A53AE1"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r>
        <w:rPr>
          <w:rFonts w:ascii="Arial" w:eastAsia="Arial" w:hAnsi="Arial" w:cs="Arial"/>
          <w:color w:val="000000"/>
          <w:sz w:val="24"/>
          <w:szCs w:val="24"/>
        </w:rPr>
        <w:t>;</w:t>
      </w:r>
    </w:p>
    <w:p w14:paraId="11A53AE2"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proposals for the training of key members of the Replacement Supplier’s staff in connection with the continuation of the provision of the Deliverables following the Expiry Date;</w:t>
      </w:r>
    </w:p>
    <w:p w14:paraId="11A53AE3"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w:t>
      </w:r>
      <w:r>
        <w:rPr>
          <w:rFonts w:ascii="Arial" w:eastAsia="Arial" w:hAnsi="Arial" w:cs="Arial"/>
          <w:color w:val="000000"/>
          <w:sz w:val="24"/>
          <w:szCs w:val="24"/>
        </w:rPr>
        <w:t xml:space="preserve">cumentation relating to the use and operation of the Deliverables and required for their continued use; </w:t>
      </w:r>
    </w:p>
    <w:p w14:paraId="11A53AE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11A53AE5"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w:t>
      </w:r>
      <w:r>
        <w:rPr>
          <w:rFonts w:ascii="Arial" w:eastAsia="Arial" w:hAnsi="Arial" w:cs="Arial"/>
          <w:color w:val="000000"/>
          <w:sz w:val="24"/>
          <w:szCs w:val="24"/>
        </w:rPr>
        <w:t xml:space="preserve">identification and return of all Buyer </w:t>
      </w:r>
      <w:r>
        <w:rPr>
          <w:rFonts w:ascii="Arial" w:eastAsia="Arial" w:hAnsi="Arial" w:cs="Arial"/>
          <w:sz w:val="24"/>
          <w:szCs w:val="24"/>
        </w:rPr>
        <w:t>Assets</w:t>
      </w:r>
      <w:r>
        <w:rPr>
          <w:rFonts w:ascii="Arial" w:eastAsia="Arial" w:hAnsi="Arial" w:cs="Arial"/>
          <w:color w:val="000000"/>
          <w:sz w:val="24"/>
          <w:szCs w:val="24"/>
        </w:rPr>
        <w:t xml:space="preserve"> in the possession of and/or control of the Supplier or any third party;</w:t>
      </w:r>
    </w:p>
    <w:p w14:paraId="11A53AE6"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11A53AE7"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w:t>
      </w:r>
      <w:r>
        <w:rPr>
          <w:rFonts w:ascii="Arial" w:eastAsia="Arial" w:hAnsi="Arial" w:cs="Arial"/>
          <w:color w:val="000000"/>
          <w:sz w:val="24"/>
          <w:szCs w:val="24"/>
        </w:rPr>
        <w:t>radation of the Deliverables during the Termination Assistance Period; and</w:t>
      </w:r>
    </w:p>
    <w:p w14:paraId="11A53AE8"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11A53AE9"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11A53AEA" w14:textId="77777777" w:rsidR="002E21BA" w:rsidRDefault="001C0426">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1A53AEB"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 six (6) months throughout the Contract Period; and</w:t>
      </w:r>
    </w:p>
    <w:p w14:paraId="11A53AEC"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twenty (20) Working Days after a request from the Buyer for an up-to-date copy of the Exit Plan; </w:t>
      </w:r>
    </w:p>
    <w:p w14:paraId="11A53AED"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11A53AEE"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twe</w:t>
      </w:r>
      <w:r>
        <w:rPr>
          <w:rFonts w:ascii="Arial" w:eastAsia="Arial" w:hAnsi="Arial" w:cs="Arial"/>
          <w:color w:val="000000"/>
          <w:sz w:val="24"/>
          <w:szCs w:val="24"/>
        </w:rPr>
        <w:t xml:space="preserve">nty (20) Working Days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11A53AEF"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11A53AF0"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11A53AF1"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11A53AF2"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lastRenderedPageBreak/>
        <w:t xml:space="preserve">Termination Assistance </w:t>
      </w:r>
    </w:p>
    <w:p w14:paraId="11A53AF3"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14:paraId="11A53AF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Termination Assistance required; </w:t>
      </w:r>
    </w:p>
    <w:p w14:paraId="11A53AF5"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w:t>
      </w:r>
      <w:r>
        <w:rPr>
          <w:rFonts w:ascii="Arial" w:eastAsia="Arial" w:hAnsi="Arial" w:cs="Arial"/>
          <w:color w:val="000000"/>
          <w:sz w:val="24"/>
          <w:szCs w:val="24"/>
        </w:rPr>
        <w:t>d initial period during which it is anticipated that Termination Assistance will be required, which shall continue no longer than twelve (12) Months after the End Date.; and</w:t>
      </w:r>
    </w:p>
    <w:p w14:paraId="11A53AF6" w14:textId="77777777" w:rsidR="002E21BA" w:rsidRDefault="001C0426">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 xml:space="preserve">whether the Buyer requires any additional services to assist with exit beyond what is required by this Schedule, which may be chargeable by the Supplier. </w:t>
      </w:r>
      <w:r>
        <w:t xml:space="preserve">     </w:t>
      </w:r>
    </w:p>
    <w:p w14:paraId="11A53AF7"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w:t>
      </w:r>
      <w:r>
        <w:rPr>
          <w:rFonts w:ascii="Arial" w:eastAsia="Arial" w:hAnsi="Arial" w:cs="Arial"/>
          <w:color w:val="000000"/>
          <w:sz w:val="24"/>
          <w:szCs w:val="24"/>
        </w:rPr>
        <w:t>riod specified in the Termination Assistance Notice in one or more extensions, in each case provided that:</w:t>
      </w:r>
    </w:p>
    <w:p w14:paraId="11A53AF8"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11A53AF9"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w:t>
      </w:r>
      <w:r>
        <w:rPr>
          <w:rFonts w:ascii="Arial" w:eastAsia="Arial" w:hAnsi="Arial" w:cs="Arial"/>
          <w:color w:val="000000"/>
          <w:sz w:val="24"/>
          <w:szCs w:val="24"/>
        </w:rPr>
        <w:t xml:space="preserve">he Supplier of any such extension no later than twenty (20) Working Days prior to the date on which the Termination Assistance Period is otherwise due to expire. </w:t>
      </w:r>
    </w:p>
    <w:p w14:paraId="11A53AFA" w14:textId="77777777" w:rsidR="002E21BA" w:rsidRDefault="001C0426">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w:t>
      </w:r>
      <w:r>
        <w:rPr>
          <w:rFonts w:ascii="Arial" w:eastAsia="Arial" w:hAnsi="Arial" w:cs="Arial"/>
          <w:color w:val="000000"/>
          <w:sz w:val="24"/>
          <w:szCs w:val="24"/>
        </w:rPr>
        <w:t>ving not less than (20) Working Days' written notice upon the Supplier.</w:t>
      </w:r>
    </w:p>
    <w:p w14:paraId="11A53AFB" w14:textId="77777777" w:rsidR="002E21BA" w:rsidRDefault="001C0426">
      <w:pPr>
        <w:numPr>
          <w:ilvl w:val="1"/>
          <w:numId w:val="2"/>
        </w:numPr>
        <w:spacing w:before="120" w:after="120" w:line="240" w:lineRule="auto"/>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w:t>
      </w:r>
      <w:r>
        <w:rPr>
          <w:rFonts w:ascii="Arial" w:eastAsia="Arial" w:hAnsi="Arial" w:cs="Arial"/>
          <w:color w:val="000000"/>
          <w:sz w:val="24"/>
          <w:szCs w:val="24"/>
        </w:rPr>
        <w:t xml:space="preserve">n Assistance Notice a quotation in the form of an itemised list of costs (in line with any day rates specified in the Contract) for each line of the additional services that the Buyer requires. Within five (5) Working Days of receipt of such quotation the </w:t>
      </w:r>
      <w:r>
        <w:rPr>
          <w:rFonts w:ascii="Arial" w:eastAsia="Arial" w:hAnsi="Arial" w:cs="Arial"/>
          <w:color w:val="000000"/>
          <w:sz w:val="24"/>
          <w:szCs w:val="24"/>
        </w:rPr>
        <w:t>Buyer shall confirm to the Supplier which of those itemised services it requires and the Supplier shall provide those services as part of the Termination Assistance at the Charges provided in the quotation.</w:t>
      </w:r>
    </w:p>
    <w:p w14:paraId="11A53AFC"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w:t>
      </w:r>
      <w:r>
        <w:rPr>
          <w:rFonts w:ascii="Arial" w:eastAsia="Arial" w:hAnsi="Arial" w:cs="Arial"/>
          <w:color w:val="000000"/>
          <w:sz w:val="24"/>
          <w:szCs w:val="24"/>
        </w:rPr>
        <w:t>red by the Buyer but at the relevant time the parties are still agreeing an update to the Exit Plan pursuant to Paragraph 4, the Supplier will provide the Termination Assistance in good faith and in accordance with the principles in this Schedule and the l</w:t>
      </w:r>
      <w:r>
        <w:rPr>
          <w:rFonts w:ascii="Arial" w:eastAsia="Arial" w:hAnsi="Arial" w:cs="Arial"/>
          <w:color w:val="000000"/>
          <w:sz w:val="24"/>
          <w:szCs w:val="24"/>
        </w:rPr>
        <w:t>ast Buyer approved version of the Exit Plan (insofar as it still applies).</w:t>
      </w:r>
    </w:p>
    <w:p w14:paraId="11A53AFD" w14:textId="77777777" w:rsidR="002E21BA" w:rsidRDefault="001C0426">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14:paraId="11A53AFE" w14:textId="77777777" w:rsidR="002E21BA" w:rsidRDefault="001C0426">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14:paraId="11A53AFF"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11A53B00"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11A53B01"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14:paraId="11A53B02"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11A53B03"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11A53B0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14:paraId="11A53B05"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w:t>
      </w:r>
      <w:r>
        <w:rPr>
          <w:rFonts w:ascii="Arial" w:eastAsia="Arial" w:hAnsi="Arial" w:cs="Arial"/>
          <w:color w:val="000000"/>
          <w:sz w:val="24"/>
          <w:szCs w:val="24"/>
        </w:rPr>
        <w:t>nal costs to the Buyer, any additional costs incurred by the Supplier in providing such reasonable assistance shall be subject to the Variation Procedure.</w:t>
      </w:r>
    </w:p>
    <w:p w14:paraId="11A53B06"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w:t>
      </w:r>
      <w:r>
        <w:rPr>
          <w:rFonts w:ascii="Arial" w:eastAsia="Arial" w:hAnsi="Arial" w:cs="Arial"/>
          <w:color w:val="000000"/>
          <w:sz w:val="24"/>
          <w:szCs w:val="24"/>
        </w:rPr>
        <w:t>tion Assistance will have a material, unavoidable adverse effect on the Supplier's ability to meet one or more particular Service Levels, the Parties shall vary the relevant Service Levels and/or the applicable Service Credits accordingly.</w:t>
      </w:r>
    </w:p>
    <w:p w14:paraId="11A53B07"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11A53B08"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11A53B09"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 xml:space="preserve">Upon termination or expiry or at the end of the Termination Assistance Period (or earlier if this does not adversely affect the </w:t>
      </w:r>
      <w:r>
        <w:rPr>
          <w:rFonts w:ascii="Arial" w:eastAsia="Arial" w:hAnsi="Arial" w:cs="Arial"/>
          <w:color w:val="000000"/>
          <w:sz w:val="24"/>
          <w:szCs w:val="24"/>
        </w:rPr>
        <w:t>Supplier's performance of the Deliverables and the Termination Assistance), the Supplier shall:</w:t>
      </w:r>
    </w:p>
    <w:p w14:paraId="11A53B0A"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11A53B0B"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w:t>
      </w:r>
      <w:r>
        <w:rPr>
          <w:rFonts w:ascii="Arial" w:eastAsia="Arial" w:hAnsi="Arial" w:cs="Arial"/>
          <w:color w:val="000000"/>
          <w:sz w:val="24"/>
          <w:szCs w:val="24"/>
        </w:rPr>
        <w:lastRenderedPageBreak/>
        <w:t>damage to the Sites or any</w:t>
      </w:r>
      <w:r>
        <w:rPr>
          <w:rFonts w:ascii="Arial" w:eastAsia="Arial" w:hAnsi="Arial" w:cs="Arial"/>
          <w:color w:val="000000"/>
          <w:sz w:val="24"/>
          <w:szCs w:val="24"/>
        </w:rPr>
        <w:t xml:space="preserve"> objects contained thereon, other than fair wear and tear, which is caused by the Supplier; </w:t>
      </w:r>
    </w:p>
    <w:p w14:paraId="11A53B0C" w14:textId="77777777" w:rsidR="002E21BA" w:rsidRDefault="001C0426">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1A53B0D"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14:paraId="11A53B0E"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14:paraId="11A53B0F"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11A53B10"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w:t>
      </w:r>
      <w:r>
        <w:rPr>
          <w:rFonts w:ascii="Arial" w:eastAsia="Arial" w:hAnsi="Arial" w:cs="Arial"/>
          <w:b/>
          <w:color w:val="000000"/>
          <w:sz w:val="24"/>
          <w:szCs w:val="24"/>
        </w:rPr>
        <w:t>acts and Software</w:t>
      </w:r>
    </w:p>
    <w:p w14:paraId="11A53B11"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11A53B12" w14:textId="77777777" w:rsidR="002E21BA" w:rsidRDefault="001C0426">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terminate, enter into or vary any Sub-contract insofar as it relates to Excl</w:t>
      </w:r>
      <w:r>
        <w:rPr>
          <w:rFonts w:ascii="Arial" w:eastAsia="Arial" w:hAnsi="Arial" w:cs="Arial"/>
          <w:color w:val="000000"/>
          <w:sz w:val="24"/>
          <w:szCs w:val="24"/>
        </w:rPr>
        <w:t>usive Assets and Non-Exclusive Assets; or</w:t>
      </w:r>
    </w:p>
    <w:p w14:paraId="11A53B13"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excluding the Core Network; or</w:t>
      </w:r>
    </w:p>
    <w:p w14:paraId="11A53B1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w:t>
      </w:r>
      <w:r>
        <w:rPr>
          <w:rFonts w:ascii="Arial" w:eastAsia="Arial" w:hAnsi="Arial" w:cs="Arial"/>
          <w:color w:val="000000"/>
          <w:sz w:val="24"/>
          <w:szCs w:val="24"/>
        </w:rPr>
        <w:t>Assets or acquire any new Supplier Assets.</w:t>
      </w:r>
    </w:p>
    <w:p w14:paraId="11A53B15"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11A53B16"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 xml:space="preserve">which, if any, of the Transferable Assets the Buyer requires to be </w:t>
      </w:r>
      <w:r>
        <w:rPr>
          <w:rFonts w:ascii="Arial" w:eastAsia="Arial" w:hAnsi="Arial" w:cs="Arial"/>
          <w:color w:val="000000"/>
          <w:sz w:val="24"/>
          <w:szCs w:val="24"/>
        </w:rPr>
        <w:t>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1A53B17" w14:textId="77777777" w:rsidR="002E21BA" w:rsidRDefault="001C0426">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11A53B18"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11A53B19" w14:textId="77777777" w:rsidR="002E21BA" w:rsidRDefault="001C0426">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1A53B1A" w14:textId="77777777" w:rsidR="002E21BA" w:rsidRDefault="001C0426">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11A53B1B"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lastRenderedPageBreak/>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11A53B1C" w14:textId="77777777" w:rsidR="002E21BA" w:rsidRDefault="001C0426">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excluding the Core Network from the expiry of the Termination Assistance Period. The Supplier shall provide all reasonable assistance required by the Buyer and/or its Replac</w:t>
      </w:r>
      <w:r>
        <w:rPr>
          <w:rFonts w:ascii="Arial" w:eastAsia="Arial" w:hAnsi="Arial" w:cs="Arial"/>
          <w:color w:val="000000"/>
          <w:sz w:val="24"/>
          <w:szCs w:val="24"/>
        </w:rPr>
        <w:t xml:space="preserve">ement Supplier to enable it to determine which Transferable Assets and Transferable Contracts are required to provide the Deliverables (excluding the Core </w:t>
      </w:r>
      <w:r>
        <w:rPr>
          <w:rFonts w:ascii="Arial" w:eastAsia="Arial" w:hAnsi="Arial" w:cs="Arial"/>
          <w:sz w:val="24"/>
          <w:szCs w:val="24"/>
        </w:rPr>
        <w:t>N</w:t>
      </w:r>
      <w:r>
        <w:rPr>
          <w:rFonts w:ascii="Arial" w:eastAsia="Arial" w:hAnsi="Arial" w:cs="Arial"/>
          <w:color w:val="000000"/>
          <w:sz w:val="24"/>
          <w:szCs w:val="24"/>
        </w:rPr>
        <w:t>etwork) or the Replacement Goods and/or Replacement Services (excluding the Core Network).</w:t>
      </w:r>
    </w:p>
    <w:p w14:paraId="11A53B1D"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With effe</w:t>
      </w:r>
      <w:r>
        <w:rPr>
          <w:rFonts w:ascii="Arial" w:eastAsia="Arial" w:hAnsi="Arial" w:cs="Arial"/>
          <w:color w:val="000000"/>
          <w:sz w:val="24"/>
          <w:szCs w:val="24"/>
        </w:rPr>
        <w:t xml:space="preserve">ct from the expiry of the Termination Assistance Period, the Supplier shall sell the Transferring Assets to the Buyer and/or the Replacement Supplier for their Net Book Value less any amount already paid for them through the Charges. </w:t>
      </w:r>
    </w:p>
    <w:p w14:paraId="11A53B1E"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w:t>
      </w:r>
      <w:r>
        <w:rPr>
          <w:rFonts w:ascii="Arial" w:eastAsia="Arial" w:hAnsi="Arial" w:cs="Arial"/>
          <w:color w:val="000000"/>
          <w:sz w:val="24"/>
          <w:szCs w:val="24"/>
        </w:rPr>
        <w:t>ing Assets shall pass to the Buyer or the Replacement Supplier (as appropriate) at the end of the Termination Assistance Period and title shall pass on payment for them.</w:t>
      </w:r>
    </w:p>
    <w:p w14:paraId="11A53B1F"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w:t>
      </w:r>
      <w:r>
        <w:rPr>
          <w:rFonts w:ascii="Arial" w:eastAsia="Arial" w:hAnsi="Arial" w:cs="Arial"/>
          <w:color w:val="000000"/>
          <w:sz w:val="24"/>
          <w:szCs w:val="24"/>
        </w:rPr>
        <w:t>e Assets that are not Transferable Assets or any Non-Exclusive Assets, the Supplier shall as soon as reasonably practicable:</w:t>
      </w:r>
    </w:p>
    <w:p w14:paraId="11A53B20"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11A53B21"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11A53B22"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11A53B23"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11A53B24"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11A53B25"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11A53B26"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11A53B27"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lastRenderedPageBreak/>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11A53B28"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1A53B29" w14:textId="77777777" w:rsidR="002E21BA" w:rsidRDefault="001C042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1A53B2A" w14:textId="77777777" w:rsidR="002E21BA" w:rsidRDefault="001C0426">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11A53B2B" w14:textId="77777777" w:rsidR="002E21BA" w:rsidRDefault="001C0426">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11A53B2C"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11A53B2D"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14:paraId="11A53B2E" w14:textId="77777777" w:rsidR="002E21BA" w:rsidRDefault="001C0426">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11A53B2F" w14:textId="77777777" w:rsidR="002E21BA" w:rsidRDefault="002E21BA">
      <w:pPr>
        <w:rPr>
          <w:rFonts w:ascii="Arial" w:eastAsia="Arial" w:hAnsi="Arial" w:cs="Arial"/>
          <w:sz w:val="24"/>
          <w:szCs w:val="24"/>
        </w:rPr>
      </w:pPr>
    </w:p>
    <w:p w14:paraId="11A53B30" w14:textId="77777777" w:rsidR="002E21BA" w:rsidRDefault="002E21BA">
      <w:pPr>
        <w:rPr>
          <w:rFonts w:ascii="Arial" w:eastAsia="Arial" w:hAnsi="Arial" w:cs="Arial"/>
          <w:sz w:val="24"/>
          <w:szCs w:val="24"/>
        </w:rPr>
      </w:pPr>
    </w:p>
    <w:sectPr w:rsidR="002E21B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3B41" w14:textId="77777777" w:rsidR="00000000" w:rsidRDefault="001C0426">
      <w:pPr>
        <w:spacing w:after="0" w:line="240" w:lineRule="auto"/>
      </w:pPr>
      <w:r>
        <w:separator/>
      </w:r>
    </w:p>
  </w:endnote>
  <w:endnote w:type="continuationSeparator" w:id="0">
    <w:p w14:paraId="11A53B43" w14:textId="77777777" w:rsidR="00000000" w:rsidRDefault="001C0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3B35" w14:textId="77777777" w:rsidR="002E21BA" w:rsidRDefault="002E21B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1A53B36" w14:textId="0BB54593"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rPr>
    </w:pPr>
    <w:r>
      <w:rPr>
        <w:rFonts w:ascii="Arial" w:eastAsia="Arial" w:hAnsi="Arial" w:cs="Arial"/>
        <w:color w:val="000000"/>
        <w:sz w:val="20"/>
        <w:szCs w:val="20"/>
      </w:rPr>
      <w:t>Framework Reference: RM6</w:t>
    </w:r>
    <w:r>
      <w:rPr>
        <w:rFonts w:ascii="Arial" w:eastAsia="Arial" w:hAnsi="Arial" w:cs="Arial"/>
        <w:sz w:val="20"/>
        <w:szCs w:val="20"/>
      </w:rPr>
      <w:t>116-</w:t>
    </w:r>
    <w:r>
      <w:rPr>
        <w:rFonts w:ascii="Arial" w:eastAsia="Arial" w:hAnsi="Arial" w:cs="Arial"/>
      </w:rPr>
      <w:t>Lot 4b</w:t>
    </w:r>
    <w:r>
      <w:t xml:space="preserve"> </w:t>
    </w:r>
    <w:r>
      <w:rPr>
        <w:rFonts w:ascii="Arial" w:eastAsia="Arial" w:hAnsi="Arial" w:cs="Arial"/>
      </w:rPr>
      <w:t xml:space="preserve">Digital Communication Services (Unified Communications) </w:t>
    </w:r>
    <w:r>
      <w:rPr>
        <w:rFonts w:ascii="Arial" w:eastAsia="Arial" w:hAnsi="Arial" w:cs="Arial"/>
        <w:sz w:val="20"/>
        <w:szCs w:val="20"/>
      </w:rPr>
      <w:t>Call-Off Contract Reference: CCTE24A10</w:t>
    </w:r>
  </w:p>
  <w:p w14:paraId="11A53B37" w14:textId="515B3C28"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1A53B38"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3B39" w14:textId="77777777" w:rsidR="002E21BA" w:rsidRDefault="002E21BA">
    <w:pPr>
      <w:tabs>
        <w:tab w:val="center" w:pos="4513"/>
        <w:tab w:val="right" w:pos="9026"/>
      </w:tabs>
      <w:spacing w:after="0"/>
      <w:rPr>
        <w:rFonts w:ascii="Arial" w:eastAsia="Arial" w:hAnsi="Arial" w:cs="Arial"/>
        <w:color w:val="A6A6A6"/>
        <w:sz w:val="20"/>
        <w:szCs w:val="20"/>
      </w:rPr>
    </w:pPr>
  </w:p>
  <w:p w14:paraId="11A53B3A"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1A53B3B"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A53B3C"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3B3D" w14:textId="77777777" w:rsidR="00000000" w:rsidRDefault="001C0426">
      <w:pPr>
        <w:spacing w:after="0" w:line="240" w:lineRule="auto"/>
      </w:pPr>
      <w:r>
        <w:separator/>
      </w:r>
    </w:p>
  </w:footnote>
  <w:footnote w:type="continuationSeparator" w:id="0">
    <w:p w14:paraId="11A53B3F" w14:textId="77777777" w:rsidR="00000000" w:rsidRDefault="001C0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3B31"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b/>
        <w:color w:val="000000"/>
        <w:sz w:val="20"/>
        <w:szCs w:val="20"/>
      </w:rPr>
      <w:t>Call-Off Schedule 10 (Exit Management)</w:t>
    </w:r>
  </w:p>
  <w:p w14:paraId="11A53B32"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Internet Protocol (IP)Telephony based services across the GPA estate</w:t>
    </w:r>
  </w:p>
  <w:p w14:paraId="11A53B33" w14:textId="77777777" w:rsidR="002E21BA" w:rsidRDefault="001C04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11A53B34" w14:textId="77777777" w:rsidR="002E21BA" w:rsidRDefault="002E21BA">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42CAB"/>
    <w:multiLevelType w:val="multilevel"/>
    <w:tmpl w:val="D136A4B0"/>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C503099"/>
    <w:multiLevelType w:val="multilevel"/>
    <w:tmpl w:val="1382B5D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4EDF01D4"/>
    <w:multiLevelType w:val="multilevel"/>
    <w:tmpl w:val="9A96F5D4"/>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1BA"/>
    <w:rsid w:val="001C0426"/>
    <w:rsid w:val="002E2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3A90"/>
  <w15:docId w15:val="{7F9EE11F-C2A7-4C50-B0D3-3A3B52E2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iD2ITc22gh+tGOr0sW2SUFOdI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OAByITFXU0daSlhEeERlZ2h2bG5lWkJHTWw1dVN2TmlHLXg3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3181</Words>
  <Characters>18136</Characters>
  <Application>Microsoft Office Word</Application>
  <DocSecurity>0</DocSecurity>
  <Lines>151</Lines>
  <Paragraphs>42</Paragraphs>
  <ScaleCrop>false</ScaleCrop>
  <Company/>
  <LinksUpToDate>false</LinksUpToDate>
  <CharactersWithSpaces>21275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Ellis Young</cp:lastModifiedBy>
  <cp:revision>2</cp:revision>
  <dcterms:created xsi:type="dcterms:W3CDTF">2022-12-01T13:52:00Z</dcterms:created>
  <dcterms:modified xsi:type="dcterms:W3CDTF">2025-06-04T13:12:00Z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